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</w:pPr>
      <w:r/>
    </w:p>
    <w:p>
      <w:pPr>
        <w:pStyle w:val="Normal"/>
        <w:jc w:val="start"/>
        <w:rPr>
          <w:sz w:val="36"/>
          <w:szCs w:val="36"/>
          <w:rFonts w:ascii="仿宋" w:hAnsi="仿宋" w:eastAsia="仿宋" w:hint="eastAsia"/>
        </w:rPr>
      </w:pPr>
      <w:r>
        <w:rPr>
          <w:sz w:val="36"/>
          <w:szCs w:val="36"/>
          <w:rFonts w:ascii="仿宋" w:hAnsi="仿宋" w:eastAsia="仿宋" w:hint="eastAsia"/>
        </w:rPr>
        <w:t xml:space="preserve">附件 </w:t>
      </w:r>
      <w:r>
        <w:rPr>
          <w:b w:val="1"/>
          <w:sz w:val="36"/>
          <w:lang w:val="en-US" w:eastAsia="zh-CN"/>
          <w:szCs w:val="36"/>
          <w:bCs/>
          <w:rFonts w:ascii="仿宋" w:hAnsi="仿宋" w:eastAsia="仿宋" w:hint="eastAsia"/>
        </w:rPr>
      </w:r>
    </w:p>
    <w:p>
      <w:pPr>
        <w:pStyle w:val="Normal"/>
        <w:jc w:val="center"/>
        <w:rPr>
          <w:b w:val="1"/>
          <w:sz w:val="32"/>
          <w:lang w:val="en-US" w:eastAsia="zh-CN"/>
          <w:szCs w:val="32"/>
          <w:bCs/>
          <w:rFonts w:ascii="仿宋" w:hAnsi="仿宋" w:eastAsia="仿宋" w:hint="eastAsia"/>
        </w:rPr>
      </w:pPr>
      <w:r>
        <w:rPr>
          <w:b w:val="1"/>
          <w:sz w:val="32"/>
          <w:lang w:val="en-US" w:eastAsia="zh-CN"/>
          <w:szCs w:val="32"/>
          <w:bCs/>
          <w:rFonts w:ascii="仿宋" w:hAnsi="仿宋" w:eastAsia="仿宋" w:hint="eastAsia"/>
        </w:rPr>
        <w:t xml:space="preserve">燃气燃烧器具安装维修企业续办资质</w:t>
      </w:r>
      <w:r>
        <w:rPr>
          <w:b w:val="1"/>
          <w:sz w:val="32"/>
          <w:szCs w:val="32"/>
          <w:bCs/>
          <w:rFonts w:ascii="仿宋" w:hAnsi="仿宋" w:eastAsia="仿宋" w:hint="eastAsia"/>
        </w:rPr>
        <w:t xml:space="preserve">审查意见</w:t>
      </w:r>
      <w:r>
        <w:rPr>
          <w:b w:val="1"/>
          <w:sz w:val="32"/>
          <w:szCs w:val="32"/>
          <w:bCs/>
          <w:rFonts w:ascii="仿宋" w:hAnsi="仿宋" w:eastAsia="仿宋" w:hint="eastAsia"/>
        </w:rPr>
      </w:r>
    </w:p>
    <w:tbl>
      <w:tblPr>
        <w:tblW w:w="0" w:type="auto"/>
        <w:jc w:val="center"/>
        <w:tblInd w:type="dxa" w:w="-1108.000000"/>
        <w:tblLayout w:type="fixed"/>
        <w:tblpPr w:leftFromText="180" w:rightFromText="180" w:vertAnchor="text" w:horzAnchor="margin" w:tblpXSpec="center" w:tblpY="86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615.000000"/>
        <w:gridCol w:w="1995.000000"/>
        <w:gridCol w:w="2531.000000"/>
        <w:gridCol w:w="4396.000000"/>
      </w:tblGrid>
      <w:tr>
        <w:tblPrEx>
          <w:tblBorders>
            <w:top w:val="single" w:color="black" w:sz="4" w:space="0"/>
            <w:left w:val="single" w:color="black" w:sz="4" w:space="0"/>
            <w:bottom w:val="single" w:color="black" w:sz="4" w:space="0"/>
            <w:right w:val="single" w:color="black" w:sz="4" w:space="0"/>
            <w:insideH w:val="single" w:color="black" w:sz="4" w:space="0"/>
            <w:insideV w:val="single" w:color="black" w:sz="4" w:space="0"/>
          </w:tblBorders>
        </w:tblPrEx>
        <w:trPr>
          <w:wAfter w:w="0" w:type="dxa"/>
          <w:trHeight w:val="919" w:hRule="atLeast"/>
        </w:trPr>
        <w:tc>
          <w:tcPr>
            <w:tcW w:w="615" w:type="dxa"/>
            <w:vAlign w:val="center"/>
            <w:textDirection w:val="lrTb"/>
          </w:tcPr>
          <w:p>
            <w:pPr>
              <w:pStyle w:val="Normal"/>
              <w:jc w:val="center"/>
              <w:framePr w:hAnchor="page" w:vAnchor="page" w:xAlign="center" w:y="86"/>
              <w:rPr>
                <w:sz w:val="32"/>
                <w:szCs w:val="32"/>
                <w:rFonts w:ascii="仿宋" w:hAnsi="仿宋" w:eastAsia="仿宋" w:hint="eastAsia"/>
              </w:rPr>
            </w:pPr>
            <w:r>
              <w:rPr>
                <w:sz w:val="32"/>
                <w:szCs w:val="32"/>
                <w:rFonts w:ascii="仿宋" w:hAnsi="仿宋" w:eastAsia="仿宋" w:hint="eastAsia"/>
              </w:rPr>
              <w:t xml:space="preserve">序号</w:t>
            </w:r>
            <w:r>
              <w:rPr>
                <w:sz w:val="32"/>
                <w:szCs w:val="32"/>
                <w:rFonts w:ascii="仿宋" w:hAnsi="仿宋" w:eastAsia="仿宋" w:hint="eastAsia"/>
              </w:rPr>
            </w:r>
          </w:p>
        </w:tc>
        <w:tc>
          <w:tcPr>
            <w:tcW w:w="1995" w:type="dxa"/>
            <w:vAlign w:val="center"/>
            <w:textDirection w:val="lrTb"/>
          </w:tcPr>
          <w:p>
            <w:pPr>
              <w:pStyle w:val="Normal"/>
              <w:jc w:val="center"/>
              <w:framePr w:hAnchor="page" w:vAnchor="page" w:xAlign="center" w:y="86"/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</w:pPr>
            <w:r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  <w:t xml:space="preserve">企业名称</w:t>
            </w:r>
            <w:r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</w:r>
          </w:p>
        </w:tc>
        <w:tc>
          <w:tcPr>
            <w:tcW w:w="2531" w:type="dxa"/>
            <w:vAlign w:val="center"/>
            <w:textDirection w:val="lrTb"/>
          </w:tcPr>
          <w:p>
            <w:pPr>
              <w:pStyle w:val="Normal"/>
              <w:jc w:val="center"/>
              <w:framePr w:hAnchor="page" w:vAnchor="page" w:xAlign="center" w:y="86"/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</w:pPr>
            <w:r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  <w:t xml:space="preserve">申办资质类别</w:t>
            </w:r>
            <w:r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</w:r>
          </w:p>
        </w:tc>
        <w:tc>
          <w:tcPr>
            <w:tcW w:w="4396" w:type="dxa"/>
            <w:vAlign w:val="center"/>
            <w:textDirection w:val="lrTb"/>
          </w:tcPr>
          <w:p>
            <w:pPr>
              <w:pStyle w:val="Normal"/>
              <w:jc w:val="center"/>
              <w:framePr w:hAnchor="page" w:vAnchor="page" w:xAlign="center" w:y="86"/>
              <w:rPr>
                <w:b w:val="1"/>
                <w:sz w:val="32"/>
                <w:lang w:eastAsia="zh-CN"/>
                <w:szCs w:val="32"/>
                <w:bCs/>
                <w:rFonts w:ascii="仿宋" w:hAnsi="仿宋" w:eastAsia="仿宋" w:hint="eastAsia"/>
              </w:rPr>
            </w:pPr>
            <w:r>
              <w:rPr>
                <w:b w:val="1"/>
                <w:sz w:val="32"/>
                <w:lang w:eastAsia="zh-CN"/>
                <w:szCs w:val="32"/>
                <w:bCs/>
                <w:rFonts w:ascii="仿宋" w:hAnsi="仿宋" w:eastAsia="仿宋" w:hint="eastAsia"/>
              </w:rPr>
              <w:t xml:space="preserve">公示意见</w:t>
            </w:r>
            <w:r>
              <w:rPr>
                <w:b w:val="1"/>
                <w:sz w:val="32"/>
                <w:szCs w:val="32"/>
                <w:bCs/>
                <w:rFonts w:ascii="仿宋" w:hAnsi="仿宋" w:eastAsia="仿宋" w:hint="eastAsia"/>
              </w:rPr>
            </w:r>
          </w:p>
        </w:tc>
      </w:tr>
      <w:tr>
        <w:tblPrEx>
          <w:tblBorders>
            <w:top w:val="single" w:color="black" w:sz="4" w:space="0"/>
            <w:left w:val="single" w:color="black" w:sz="4" w:space="0"/>
            <w:bottom w:val="single" w:color="black" w:sz="4" w:space="0"/>
            <w:right w:val="single" w:color="black" w:sz="4" w:space="0"/>
            <w:insideH w:val="single" w:color="black" w:sz="4" w:space="0"/>
            <w:insideV w:val="single" w:color="black" w:sz="4" w:space="0"/>
          </w:tblBorders>
        </w:tblPrEx>
        <w:trPr>
          <w:wAfter w:w="0" w:type="dxa"/>
          <w:trHeight w:val="885" w:hRule="atLeast"/>
        </w:trPr>
        <w:tc>
          <w:tcPr>
            <w:tcW w:w="615" w:type="dxa"/>
            <w:vAlign w:val="center"/>
            <w:textDirection w:val="lrTb"/>
          </w:tcPr>
          <w:p>
            <w:pPr>
              <w:pStyle w:val="Normal"/>
              <w:jc w:val="center"/>
              <w:framePr w:hAnchor="page" w:vAnchor="page" w:xAlign="center" w:y="86"/>
              <w:rPr>
                <w:sz w:val="32"/>
                <w:szCs w:val="32"/>
                <w:rFonts w:ascii="仿宋" w:hAnsi="仿宋" w:eastAsia="仿宋" w:hint="eastAsia"/>
              </w:rPr>
            </w:pPr>
            <w:r>
              <w:rPr>
                <w:sz w:val="32"/>
                <w:szCs w:val="32"/>
                <w:rFonts w:ascii="仿宋" w:hAnsi="仿宋" w:eastAsia="仿宋" w:hint="eastAsia"/>
              </w:rPr>
              <w:t xml:space="preserve">1</w:t>
            </w:r>
            <w:r>
              <w:rPr>
                <w:sz w:val="32"/>
                <w:szCs w:val="32"/>
                <w:rFonts w:ascii="仿宋" w:hAnsi="仿宋" w:eastAsia="仿宋" w:hint="eastAsia"/>
              </w:rPr>
            </w:r>
          </w:p>
        </w:tc>
        <w:tc>
          <w:tcPr>
            <w:tcW w:w="1995" w:type="dxa"/>
            <w:vAlign w:val="center"/>
            <w:textDirection w:val="lrTb"/>
          </w:tcPr>
          <w:p>
            <w:pPr>
              <w:pStyle w:val="Normal"/>
              <w:widowControl w:val="1"/>
              <w:keepNext w:val="0"/>
              <w:keepLines w:val="0"/>
              <w:jc w:val="both"/>
              <w:suppressLineNumbers w:val="off"/>
              <w:framePr w:hAnchor="page" w:vAnchor="page" w:xAlign="center" w:y="86"/>
              <w:rPr>
                <w:sz w:val="32"/>
                <w:lang w:val="en-US" w:eastAsia="zh-CN"/>
                <w:szCs w:val="32"/>
                <w:rFonts w:ascii="仿宋" w:hAnsi="仿宋" w:eastAsia="仿宋"/>
              </w:rPr>
            </w:pPr>
            <w:r>
              <w:rPr>
                <w:sz w:val="32"/>
                <w:lang w:val="en-US" w:eastAsia="zh-CN"/>
                <w:szCs w:val="32"/>
                <w:rFonts w:ascii="仿宋" w:hAnsi="仿宋" w:eastAsia="仿宋"/>
              </w:rPr>
              <w:t xml:space="preserve">随州中燃城市燃气发展有限公司</w:t>
            </w:r>
            <w:r>
              <w:rPr>
                <w:sz w:val="32"/>
                <w:lang w:val="en-US" w:eastAsia="zh-CN"/>
                <w:szCs w:val="32"/>
                <w:rFonts w:ascii="仿宋" w:hAnsi="仿宋" w:eastAsia="仿宋"/>
              </w:rPr>
            </w:r>
          </w:p>
        </w:tc>
        <w:tc>
          <w:tcPr>
            <w:tcW w:w="2531" w:type="dxa"/>
            <w:vAlign w:val="center"/>
            <w:textDirection w:val="lrTb"/>
          </w:tcPr>
          <w:p>
            <w:pPr>
              <w:pStyle w:val="Normal"/>
              <w:widowControl w:val="1"/>
              <w:keepNext w:val="0"/>
              <w:keepLines w:val="0"/>
              <w:jc w:val="start"/>
              <w:suppressLineNumbers w:val="off"/>
              <w:framePr w:hAnchor="page" w:vAnchor="page" w:xAlign="center" w:y="86"/>
              <w:rPr>
                <w:sz w:val="32"/>
                <w:lang w:val="en-US" w:eastAsia="zh-CN"/>
                <w:szCs w:val="32"/>
                <w:rFonts w:ascii="仿宋" w:hAnsi="仿宋" w:eastAsia="仿宋" w:hint="eastAsia"/>
              </w:rPr>
            </w:pPr>
            <w:r>
              <w:rPr>
                <w:sz w:val="32"/>
                <w:lang w:val="en-US" w:eastAsia="zh-CN"/>
                <w:szCs w:val="32"/>
                <w:rFonts w:ascii="仿宋" w:hAnsi="仿宋" w:eastAsia="仿宋" w:hint="eastAsia"/>
              </w:rPr>
              <w:t xml:space="preserve">燃气燃烧器具安装、维修企业续办资质</w:t>
            </w:r>
            <w:r>
              <w:rPr>
                <w:sz w:val="32"/>
                <w:lang w:val="en-US" w:eastAsia="zh-CN"/>
                <w:szCs w:val="32"/>
                <w:rFonts w:ascii="仿宋" w:hAnsi="仿宋" w:eastAsia="仿宋"/>
              </w:rPr>
            </w:r>
          </w:p>
        </w:tc>
        <w:tc>
          <w:tcPr>
            <w:tcW w:w="4396" w:type="dxa"/>
            <w:vAlign w:val="center"/>
            <w:textDirection w:val="lrTb"/>
          </w:tcPr>
          <w:p>
            <w:pPr>
              <w:pStyle w:val="Normal"/>
              <w:jc w:val="start"/>
              <w:framePr w:hAnchor="page" w:vAnchor="page" w:xAlign="center" w:y="86"/>
              <w:rPr>
                <w:b w:val="1"/>
                <w:sz w:val="32"/>
                <w:lang w:val="en-US" w:eastAsia="zh-CN"/>
                <w:szCs w:val="32"/>
                <w:bCs/>
                <w:rFonts w:ascii="仿宋" w:hAnsi="仿宋" w:eastAsia="仿宋" w:hint="eastAsia"/>
              </w:rPr>
            </w:pPr>
            <w:r>
              <w:rPr>
                <w:b w:val="1"/>
                <w:sz w:val="32"/>
                <w:lang w:val="en-US" w:eastAsia="zh-CN"/>
                <w:szCs w:val="32"/>
                <w:bCs/>
                <w:rFonts w:ascii="仿宋" w:hAnsi="仿宋" w:eastAsia="仿宋" w:hint="eastAsia"/>
              </w:rPr>
              <w:t xml:space="preserve">同意：</w:t>
            </w:r>
            <w:r>
              <w:rPr>
                <w:sz w:val="32"/>
                <w:lang w:val="en-US" w:eastAsia="zh-CN"/>
                <w:szCs w:val="32"/>
                <w:rFonts w:ascii="仿宋" w:hAnsi="仿宋" w:eastAsia="仿宋" w:hint="eastAsia"/>
              </w:rPr>
              <w:t xml:space="preserve">燃气燃烧器具安装、维修企业续办资质</w:t>
            </w:r>
            <w:r>
              <w:rPr>
                <w:i w:val="0"/>
                <w:u w:val="none"/>
                <w:color w:val="000000"/>
                <w:sz w:val="28"/>
                <w:lang w:val="en-US" w:eastAsia="zh-CN" w:bidi="ar"/>
                <w:szCs w:val="28"/>
                <w:kern w:val="0"/>
                <w:rFonts w:ascii="仿宋" w:hAnsi="仿宋" w:eastAsia="仿宋" w:hint="eastAsia"/>
              </w:rPr>
              <w:t xml:space="preserve">。</w:t>
            </w:r>
            <w:r>
              <w:rPr>
                <w:sz w:val="32"/>
                <w:lang w:val="en-US" w:eastAsia="zh-CN"/>
                <w:szCs w:val="32"/>
                <w:rFonts w:ascii="仿宋" w:hAnsi="仿宋" w:eastAsia="仿宋" w:hint="eastAsia"/>
              </w:rPr>
            </w:r>
          </w:p>
        </w:tc>
      </w:tr>
    </w:tbl>
    <w:sectPr>
      <w:type w:val="nextPage"/>
      <w:docGrid w:type="lines" w:linePitch="312"/>
      <w:pgSz w:w="11906" w:h="16838"/>
      <w:pgMar w:top="1440" w:right="1800" w:bottom="1440" w:left="1800" w:header="851" w:footer="992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efaultTabStop w:val="420"/>
  <w:displayHorizontalDrawingGridEvery w:val="1"/>
  <w:displayVerticalDrawingGridEvery w:val="1"/>
  <w:characterSpacingControl w:val="compressPunctuation"/>
  <w:zoom w:percent="8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  <w:rFonts w:ascii="Calibri" w:hAnsi="Calibri" w:eastAsia="宋体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save:Fri Oct 30 11:07:08 2026

</file>